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5</w:t>
      </w:r>
    </w:p>
    <w:p>
      <w:r>
        <w:t>Bundesgericht (BGE), 1993-02-17, DE</w:t>
      </w:r>
    </w:p>
    <w:p>
      <w:r>
        <w:rPr>
          <w:b/>
        </w:rPr>
        <w:t xml:space="preserve">Quelle: </w:t>
      </w:r>
      <w:r>
        <w:t>https://mcp.opencaselaw.ch/entscheid/bge_119 IV 5</w:t>
      </w:r>
    </w:p>
    <w:p>
      <w:r>
        <w:t>FR: ATF 119 IV 5</w:t>
      </w:r>
    </w:p>
    <w:p>
      <w:r>
        <w:t>IT: DTF 119 IV 5</w:t>
      </w:r>
    </w:p>
    <w:p>
      <w:pPr>
        <w:pStyle w:val="Heading2"/>
      </w:pPr>
      <w:r>
        <w:t>Regeste</w:t>
      </w:r>
    </w:p>
    <w:p>
      <w:r>
        <w:t>Regeste Art. 38 Ziff. 1 Abs. 1 StGB; bedingte Entlassung. 1. Es genügt, dass das Verhalten des Verurteilten während des Strafvollzugs nicht gegen die vorzeitige Entlassung spricht. Man kann sich fragen, ob das Verhalten während des Strafvollzugs überhaupt noch ein selbständiges Entscheidungskriterium oder nicht vielmehr bloss ein Umstand sei, der bei der Beurteilung der Bewährungsaussichten im Gesamtzusammenhang mitzuberücksichtigen ist (E. 1). 2. Die bedingte Entlassung ist die Regel, von der nur aus guten Gründen abgewichen werden kann. Die Behörde hat ihre Gründe für die Verweigerung der bedingten Entlassung anzugeben (E. 2). 3. Fall eines zu einer langjährigen Freiheitsstrafe Verurteilten, der sich im Strafvollzug zunächst während mehr als fünf Jahren sehr schlecht verhalten, in der Folge aber während vier Jahren bis zum Entscheid über die bedingte Entlassung anhaltend günstig entwickelt hat (E. 3a).</w:t>
      </w:r>
    </w:p>
    <w:p>
      <w:pPr>
        <w:pStyle w:val="Heading2"/>
      </w:pPr>
      <w:r>
        <w:t>Erwägungen</w:t>
      </w:r>
    </w:p>
    <w:p>
      <w:r>
        <w:rPr>
          <w:b/>
        </w:rPr>
        <w:t>E. 1</w:t>
      </w:r>
    </w:p>
    <w:p>
      <w:r>
        <w:t>L'article 38 chiffre 1 alinéa 1 CP dispose que, lorsqu'un condamné à la réclusion ou à l'emprisonnement aura subi les deux tiers de sa peine, mais au moins trois mois en cas de condamnation à l'emprisonnement, l'autorité compétente pourra le libérer conditionnellement si son comportement pendant l'exécution de la peine ne s'oppose pas à son élargissement et s'il est à prévoir qu'il se conduira bien en liberté. Il n'est pas contesté que le recourant a subi les deux tiers de sa peine privative de liberté depuis le 14 juillet 1992. Il convient donc de décider s'il a eu, pendant l'exécution de la peine, un comportement qui ne s'oppose pas à son élargissement et s'il peut faire l'objet d'un pronostic favorable pour sa vie future en liberté. a) aa) L'article 38 du code pénal, dans sa version originelle de 1937, disposait que l'autorité compétente pouvait libérer le détenu si, outre la réparation du dommage, il s'était bien comporté dans l'établissement et s'il était à prévoir qu'il se comporterait bien en liberté. Si le détenu ne s'était pas bien comporté dans l'établissement, la faveur de la libération conditionnelle était exclue (SCHWANDER, Das schweizerische Strafgesetzbuch, p. 175). Les deux exigences, celle du bon comportement et celle du pronostic favorable, étaient évidemment cumulatives. Lors de la révision du code pénal, en 1971, l'accent a été mis sur le pronostic favorable (cf. Bull.stén. CE 1970, BGE 119 IV 5 S. 7 p. 92; P. LOGOZ, Commentaire du Code Pénal Suisse, Partie générale, ad art. 38, p. 217). L'exigence relative au comportement dans l'établissement a été atténuée; on se contente d'exiger un comportement du détenu qui ne s'oppose pas à son élargissement. On peut même se demander si le comportement en détention représente encore un critère indépendant ou s'il n'est pas, selon les circonstances, un simple élément supplémentaire d'appréciation pour établir le pronostic. En effet, selon la doctrine récente, des entorses à la discipline pénitentiaire, voire une évasion ne peuvent sans autre faire obstacle à un pronostic favorable (STRATENWERTH, Allg. Teil II p. 91 no 55; ALEXANDER BÖHM, Strafvollzug, 2. Aufl. Frankfurt 1986 p. 234 s.; EISENBERG, Neue Zeitschrift für Strafrecht 1989 p. 366; HORSTKOTTE, Leipziger Kommentar, 10. Aufl. 1983 § 67 c no 58 ss; KAISER/KORNER/SCHÖCH, Strafvollzug, 4. Aufl. Heidelberg 1992 p. 545 § 20 No 4; WOLFGANG FRISCH, Dogmatische Grundfragen der bedingten Entlassung und der Lockerungen des Vollzuges von Strafen und Massregeln, Zeitschrift für Strafrechtwissenschaft 1990 p. 707 ss, 740 s.), car celui-ci est en fin de compte le seul critère déterminant en matière de libération anticipée. bb) L'accent que le législateur a voulu mettre en 1971 sur la fonction de réinsertion sociale de la libération conditionnelle, et donc la priorité donnée au pronostic favorable, doivent néanmoins être pris en considération dans l'interprétation de la notion de "comportement s'opposant à l'élargissement".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Si les comportements reprochés au détenu n'atteignent pas le degré de gravité qui interdise d'emblée d'envisager la libération conditionnelle, ils peuvent encore être pris en considération dans l'établissement du pronostic. b) Pour le pronostic à émettre, il faut bien se contenter d'une certaine probabilité, un risque de récidive étant inhérent à toute libération, conditionnelle ou à la fin de l'exécution ( ATF 98 Ib 107 ; LOGOZ, Commentaire du Code Pénal Suisse, Partie générale, ad art. 38, no 4a). L'autorité qui n'accepte de libérer conditionnellement un détenu que si elle est absolument convaincue qu'il se conduira bien en liberté BGE 119 IV 5 S. 8 fait preuve d'une rigueur excessive. Il suffit de pouvoir raisonnablement conjecturer que, compte tenu des règles de comportement qui lui sont imposées, le condamné se conduira bien ( ATF 98 Ib 107 ). Dans l'appréciation globale du cas - à laquelle il faut procéder pour être en mesure de former un pronostic -, il convient, à côté des antécédents et de la personnalité de l'intéressé, de prendre en considération avant tout le degré de son éventuel amendement ainsi que les conditions dans lesquelles il est à prévoir qu'il vivra ( ATF 104 IV 281 ). La nature de l'infraction qui a motivé la condamnation n'a pas à jouer de rôle dans l'appréciation de l'amendement de l'auteur. En revanche, les conditions dans lesquelles il a agi peuvent être considérées comme un indice sérieux dans la mesure où elles renseignent sur sa personnalité et son comportement probable en liberté ( ATF 103 Ib 27 ). Enfin, il ne faut pas oublier que la libération conditionnelle peut prévenir les séquelles parfois irrémédiables d'une incarcération, surtout si elle est de plusieurs années comme dans le cas particulier (FRISCH, ZStW 1990 p. 717 et cit.).</w:t>
      </w:r>
    </w:p>
    <w:p>
      <w:r>
        <w:rPr>
          <w:b/>
        </w:rPr>
        <w:t>E. 2</w:t>
      </w:r>
    </w:p>
    <w:p>
      <w:r>
        <w:t>En cette matière, l'autorité cantonale dispose d'un pouvoir d'appréciation dont l'usage n'est censuré par le Tribunal fédéral qu'en cas d'excès ou d'abus ( art. 104 lettre a OJ ), par exemple si la décision entreprise repose sur des considérations étrangères au but de l'institution ( ATF 98 Ib 107 ). La libération conditionnelle, telle qu'elle est prévue à l' art. 38 CP , est une des modalités de l'exécution de la peine. Comme telle, elle constitue la règle, de laquelle il ne convient de s'écarter que si de bonnes raisons laissent à penser qu'elle sera inefficace. Lorsque l'autorité s'écarte de la règle, elle doit, pour que le contrôle du Tribunal fédéral soit possible, indiquer de manière circonstanciée les motifs qui justifient sa décision (cf. ATF 117 IV 113 par analogie, en matière de fixation de la peine). Elle ne satisfait notamment pas à cette obligation lorsqu'elle déclare que l'une des conditions cumulatives et, partant, essentielle, mise par le législateur à la libération conditionnelle n'est pas remplie, sans que le cheminement du raisonnement qui l'a conduite à cette conclusion puisse être suivi par l'autorité de recours (arrêt du Tribunal fédéral du 23 septembre 1992 en la cause R.O.K.W. c. Commission de libération du canton de Vaud). On ne saurait certes exiger des autorités administratives qu'elles motivent leurs décisions d'une manière aussi précise que des autorités judiciaires ou de recours. Il faut cependant que les explications, bien que succinctes, permettent de saisir les éléments sur lesquels l'autorité s'est fondée ( ATF 96 I 608 , ATF 98 Ib 194 ). BGE 119 IV 5 S. 9 Lorsqu'il ressort de la décision que l'autorité compétente s'est fondée sur une conception juridique correcte de la libération conditionnelle, qu'elle a pris en considération l'ensemble des éléments pertinents, qu'elle a tiré de ces prémisses des conclusions conformes à la raison et qu'elle est arrivée à une solution globalement défendable, sa décision échappe à la censure lors même que l'autorité de recours, si elle avait eu à trancher le cas en première instance, eût peut-être été encline à une autre solution. Un réexamen plus strict de l'appréciation faite par l'autorité de première instance reviendrait à faire du juge administratif une autorité de libération conditionnelle.</w:t>
      </w:r>
    </w:p>
    <w:p>
      <w:r>
        <w:rPr>
          <w:b/>
        </w:rPr>
        <w:t>E. 3</w:t>
      </w:r>
    </w:p>
    <w:p>
      <w:r>
        <w:t>En l'espèce, la Commission de libération du canton de Vaud estime que ni l'une, ni l'autre des deux exigences cumulatives posées par l'article 38 CP n'est remplie, soit un comportement en détention qui ne s'oppose pas à l'élargissement du détenu, ainsi qu'un pronostic favorable quant à sa vie future en liberté. a) En ce qui concerne le comportement du recourant en détention, la Commission admet qu'il a été satisfaisant depuis 1988 mais, selon elle, cette évolution ne permet pas encore d'effacer le mauvais comportement antérieur à cette date. Il est juste d'établir un bilan global du comportement, en tenant compte des deux périodes, l'une antérieure, l'autre postérieure à 1988, et c'est d'abord à l'autorité compétente d'examiner si le bénéfice prépondérant d'une évolution positive et d'un bon comportement actuel peut être annihilé par un mauvais comportement initial. Cependant, il est regrettable que l'autorité cantonale n'ait pas examiné de plus près les circonstances exactes de la mutinerie de détenus, éventuellement accompagnée d'une prise d'otages - commise le 10 octobre 1982 -, qui ont notamment provoqué la condamnation du recourant en date du 18 juin 1987 à quatre ans de réclusion et à une expulsion à vie du territoire par le Tribunal cantonal valaisan - dont le jugement ne figure pas au dossier. Des précisions relatives à la chronologie eussent aussi été utiles, car celle-ci joue un rôle non négligeable dans cette appréciation. En ce qui concerne la période entre 1985 et 1988 en particulier, le dossier ne laisse pas apparaître clairement quand et dans quelles circonstances le recourant a été détenu. Le seul fait qu'il ait été incarcéré entre 1985 (ou était-ce 1987?) et 1988 dans divers établissements pénitentiaires ne permet pas encore de conclure à un mauvais comportement. Certes, les atteintes du recourant à l'ordre pénitentiaire durant les premières années de sa détention sont très graves. Mais, d'une part, BGE 119 IV 5 S. 10 ce comportement a été déjà sanctionné par une condamnation et, d'autre part, cela ne dispense pas pour autant l'autorité cantonale d'indiquer de manière circonstanciée les motifs qui justifient sa décision. L'évolution positive et ininterrompue du recourant pendant les quatre dernières années - ce qui constitue une longue période - et le préavis favorable du directeur de l'établissement et du Service pénitentiaire cantonal devaient l'inciter à rendre une motivation plus développée, car une telle circonstance conduit naturellement à admettre un amendement durable et, partant, à un pronostic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